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bidi w:val="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Au cours des Pléistocènes Inférieur et Moyen, certaines espèces d’</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paraissent apparentées à des espèces actuelles, tandis que d’autres semblent avoir disparu sans laisser de traces. Tel est le cas des espèces qu’on distingue à Sà¼ssenborn et dont les restes fossiles sont conservés à la "Senckenberg Research Station of Quaternary Paleontology" à Weimar, Allemagne.</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A Sà¼ssenborn en Thuringe, Allemagne, un très riche matériel a été récolté dans une carrière de 23m de haut, sans indication de niveaux. L’intervalle de temps entre les niveaux les plus bas et les plus hauts pourrait atteindre 100.000 ans. En tout cas, au cours du temps de déposition des sédiments, des changements climatiques ont certainement pu se produire avec des passages de conditions humides à des conditions sèches. Des signes d’hypoplasie sur les dents jugales inférieures suggèrent l’existence de stress. L’espèce </w:t>
      </w:r>
      <w:r>
        <w:rPr>
          <w:rFonts w:ascii="inherit" w:hAnsi="inherit"/>
          <w:b w:val="false"/>
          <w:i/>
          <w:caps w:val="false"/>
          <w:smallCaps w:val="false"/>
          <w:color w:val="000000"/>
          <w:spacing w:val="0"/>
          <w:sz w:val="24"/>
        </w:rPr>
        <w:t>E. suessenbornensis</w:t>
      </w:r>
      <w:r>
        <w:rPr>
          <w:rFonts w:ascii="Cambria;Georgia;Times New Roman;Times;serif" w:hAnsi="Cambria;Georgia;Times New Roman;Times;serif"/>
          <w:b w:val="false"/>
          <w:i w:val="false"/>
          <w:caps w:val="false"/>
          <w:smallCaps w:val="false"/>
          <w:color w:val="000000"/>
          <w:spacing w:val="0"/>
          <w:sz w:val="24"/>
        </w:rPr>
        <w:t> qui présente un émail très plissé sur ses dents jugales vivait sans doute dans un environnement plus humide que </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sp. et </w:t>
      </w:r>
      <w:r>
        <w:rPr>
          <w:rFonts w:ascii="inherit" w:hAnsi="inherit"/>
          <w:b w:val="false"/>
          <w:i/>
          <w:caps w:val="false"/>
          <w:smallCaps w:val="false"/>
          <w:color w:val="000000"/>
          <w:spacing w:val="0"/>
          <w:sz w:val="24"/>
        </w:rPr>
        <w:t>E. marxi-altidens</w:t>
      </w:r>
      <w:r>
        <w:rPr>
          <w:rFonts w:ascii="Cambria;Georgia;Times New Roman;Times;serif" w:hAnsi="Cambria;Georgia;Times New Roman;Times;serif"/>
          <w:b w:val="false"/>
          <w:i w:val="false"/>
          <w:caps w:val="false"/>
          <w:smallCaps w:val="false"/>
          <w:color w:val="000000"/>
          <w:spacing w:val="0"/>
          <w:sz w:val="24"/>
        </w:rPr>
        <w:t> (très mal définis tous deux) aux dents peu plissées. Il est difficile de juger de leurs parentés ; peut-àªtre </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sp. est-il le descendant d’</w:t>
      </w:r>
      <w:r>
        <w:rPr>
          <w:rFonts w:ascii="inherit" w:hAnsi="inherit"/>
          <w:b w:val="false"/>
          <w:i/>
          <w:caps w:val="false"/>
          <w:smallCaps w:val="false"/>
          <w:color w:val="000000"/>
          <w:spacing w:val="0"/>
          <w:sz w:val="24"/>
        </w:rPr>
        <w:t>E.</w:t>
      </w:r>
      <w:r>
        <w:rPr>
          <w:rFonts w:ascii="Cambria;Georgia;Times New Roman;Times;serif" w:hAnsi="Cambria;Georgia;Times New Roman;Times;serif"/>
          <w:b w:val="false"/>
          <w:i w:val="false"/>
          <w:caps w:val="false"/>
          <w:smallCaps w:val="false"/>
          <w:color w:val="000000"/>
          <w:spacing w:val="0"/>
          <w:sz w:val="24"/>
        </w:rPr>
        <w:t> </w:t>
      </w:r>
      <w:r>
        <w:rPr>
          <w:rFonts w:ascii="inherit" w:hAnsi="inherit"/>
          <w:b w:val="false"/>
          <w:i/>
          <w:caps w:val="false"/>
          <w:smallCaps w:val="false"/>
          <w:color w:val="000000"/>
          <w:spacing w:val="0"/>
          <w:sz w:val="24"/>
        </w:rPr>
        <w:t>suessenbornensis</w:t>
      </w:r>
      <w:r>
        <w:rPr>
          <w:rFonts w:ascii="Cambria;Georgia;Times New Roman;Times;serif" w:hAnsi="Cambria;Georgia;Times New Roman;Times;serif"/>
          <w:b w:val="false"/>
          <w:i w:val="false"/>
          <w:caps w:val="false"/>
          <w:smallCaps w:val="false"/>
          <w:color w:val="000000"/>
          <w:spacing w:val="0"/>
          <w:sz w:val="24"/>
        </w:rPr>
        <w:t> ? Il y a en outre quelques dents jugales inférieures caballines de grande taille (</w:t>
      </w:r>
      <w:r>
        <w:rPr>
          <w:rFonts w:ascii="inherit" w:hAnsi="inherit"/>
          <w:b w:val="false"/>
          <w:i/>
          <w:caps w:val="false"/>
          <w:smallCaps w:val="false"/>
          <w:color w:val="000000"/>
          <w:spacing w:val="0"/>
          <w:sz w:val="24"/>
        </w:rPr>
        <w:t>E. mosbachensis</w:t>
      </w:r>
      <w:r>
        <w:rPr>
          <w:rFonts w:ascii="Cambria;Georgia;Times New Roman;Times;serif" w:hAnsi="Cambria;Georgia;Times New Roman;Times;serif"/>
          <w:b w:val="false"/>
          <w:i w:val="false"/>
          <w:caps w:val="false"/>
          <w:smallCaps w:val="false"/>
          <w:color w:val="000000"/>
          <w:spacing w:val="0"/>
          <w:sz w:val="24"/>
        </w:rPr>
        <w:t> ?). Enfin d’autres petites dents, "sténoniennes", pourraient dériver d’</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sp. Il existe beucoup d’intermédiares difficiles à classer.</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Les restes squelettiques sont peu abondants, fragmentaires et polymorphes,surtout les MCIII : six MCIII (S 5592, S 5712, S 5872, S 6998, S 9243, S 11421,) grands et plats appartiennent à </w:t>
      </w:r>
      <w:r>
        <w:rPr>
          <w:rFonts w:ascii="inherit" w:hAnsi="inherit"/>
          <w:b w:val="false"/>
          <w:i/>
          <w:caps w:val="false"/>
          <w:smallCaps w:val="false"/>
          <w:color w:val="000000"/>
          <w:spacing w:val="0"/>
          <w:sz w:val="24"/>
        </w:rPr>
        <w:t>E. suessenbornensis</w:t>
      </w:r>
      <w:r>
        <w:rPr>
          <w:rFonts w:ascii="Cambria;Georgia;Times New Roman;Times;serif" w:hAnsi="Cambria;Georgia;Times New Roman;Times;serif"/>
          <w:b w:val="false"/>
          <w:i w:val="false"/>
          <w:caps w:val="false"/>
          <w:smallCaps w:val="false"/>
          <w:color w:val="000000"/>
          <w:spacing w:val="0"/>
          <w:sz w:val="24"/>
        </w:rPr>
        <w:t> ; deux spécimens bien conservés (S 6607, S 9245) et deux autres fragmentaires (S 7793 et S 9240) sont beaucoup plus petits, sveltes, présentent une diaphyse épaisse et appartiennent sans doute à </w:t>
      </w:r>
      <w:r>
        <w:rPr>
          <w:rFonts w:ascii="inherit" w:hAnsi="inherit"/>
          <w:b w:val="false"/>
          <w:i/>
          <w:caps w:val="false"/>
          <w:smallCaps w:val="false"/>
          <w:color w:val="000000"/>
          <w:spacing w:val="0"/>
          <w:sz w:val="24"/>
        </w:rPr>
        <w:t>E. marxi-altidens</w:t>
      </w:r>
      <w:r>
        <w:rPr>
          <w:rFonts w:ascii="Cambria;Georgia;Times New Roman;Times;serif" w:hAnsi="Cambria;Georgia;Times New Roman;Times;serif"/>
          <w:b w:val="false"/>
          <w:i w:val="false"/>
          <w:caps w:val="false"/>
          <w:smallCaps w:val="false"/>
          <w:color w:val="000000"/>
          <w:spacing w:val="0"/>
          <w:sz w:val="24"/>
        </w:rPr>
        <w:t> ; S 1139, parfaitement fossilisé, est court, robuste et pourrait appartenir à un Zèbre ou à un petit Cheval ; enfin 4 spécimens (S 5260, S 5572, S 9244, S 9626) sont de longueur intermédaire entre </w:t>
      </w:r>
      <w:r>
        <w:rPr>
          <w:rFonts w:ascii="inherit" w:hAnsi="inherit"/>
          <w:b w:val="false"/>
          <w:i/>
          <w:caps w:val="false"/>
          <w:smallCaps w:val="false"/>
          <w:color w:val="000000"/>
          <w:spacing w:val="0"/>
          <w:sz w:val="24"/>
        </w:rPr>
        <w:t>E. suessenbornensis</w:t>
      </w:r>
      <w:r>
        <w:rPr>
          <w:rFonts w:ascii="Cambria;Georgia;Times New Roman;Times;serif" w:hAnsi="Cambria;Georgia;Times New Roman;Times;serif"/>
          <w:b w:val="false"/>
          <w:i w:val="false"/>
          <w:caps w:val="false"/>
          <w:smallCaps w:val="false"/>
          <w:color w:val="000000"/>
          <w:spacing w:val="0"/>
          <w:sz w:val="24"/>
        </w:rPr>
        <w:t> et </w:t>
      </w:r>
      <w:r>
        <w:rPr>
          <w:rFonts w:ascii="inherit" w:hAnsi="inherit"/>
          <w:b w:val="false"/>
          <w:i/>
          <w:caps w:val="false"/>
          <w:smallCaps w:val="false"/>
          <w:color w:val="000000"/>
          <w:spacing w:val="0"/>
          <w:sz w:val="24"/>
        </w:rPr>
        <w:t>E. marxi-altidens</w:t>
      </w:r>
      <w:r>
        <w:rPr>
          <w:rFonts w:ascii="Cambria;Georgia;Times New Roman;Times;serif" w:hAnsi="Cambria;Georgia;Times New Roman;Times;serif"/>
          <w:b w:val="false"/>
          <w:i w:val="false"/>
          <w:caps w:val="false"/>
          <w:smallCaps w:val="false"/>
          <w:color w:val="000000"/>
          <w:spacing w:val="0"/>
          <w:sz w:val="24"/>
        </w:rPr>
        <w:t>, plus sveltes et plus épais qu’</w:t>
      </w:r>
      <w:r>
        <w:rPr>
          <w:rFonts w:ascii="inherit" w:hAnsi="inherit"/>
          <w:b w:val="false"/>
          <w:i/>
          <w:caps w:val="false"/>
          <w:smallCaps w:val="false"/>
          <w:color w:val="000000"/>
          <w:spacing w:val="0"/>
          <w:sz w:val="24"/>
        </w:rPr>
        <w:t>E. suessenbornensis</w:t>
      </w:r>
      <w:r>
        <w:rPr>
          <w:rFonts w:ascii="Cambria;Georgia;Times New Roman;Times;serif" w:hAnsi="Cambria;Georgia;Times New Roman;Times;serif"/>
          <w:b w:val="false"/>
          <w:i w:val="false"/>
          <w:caps w:val="false"/>
          <w:smallCaps w:val="false"/>
          <w:color w:val="000000"/>
          <w:spacing w:val="0"/>
          <w:sz w:val="24"/>
        </w:rPr>
        <w:t> ; peut-àªtre appartenaient-ils à </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sp.</w:t>
      </w:r>
    </w:p>
    <w:p>
      <w:pPr>
        <w:pStyle w:val="TextBody"/>
        <w:widowControl/>
        <w:pBdr/>
        <w:bidi w:val="0"/>
        <w:spacing w:before="0" w:after="0"/>
        <w:ind w:left="0" w:right="0" w:hanging="0"/>
        <w:jc w:val="left"/>
        <w:rPr/>
      </w:pPr>
      <w:hyperlink r:id="rId2">
        <w:r>
          <w:rPr>
            <w:rStyle w:val="InternetLink"/>
            <w:rFonts w:ascii="Cambria;Georgia;Times New Roman;Times;serif" w:hAnsi="Cambria;Georgia;Times New Roman;Times;serif"/>
            <w:b w:val="false"/>
            <w:i w:val="false"/>
            <w:caps w:val="false"/>
            <w:smallCaps w:val="false"/>
            <w:color w:val="000000"/>
            <w:spacing w:val="0"/>
            <w:sz w:val="24"/>
            <w:u w:val="single"/>
          </w:rPr>
          <w:t>151. Eisenmann V. 2006. Pliocene and Pleistocene Equids : Paleontology versus Molecular Biology. In : Kahlke, R.-D., Maul, L. C. &amp; Mazza, P. (Eds.) : Late Neogene and Quaternary biodiversity and evolution : Regional developments and interregional correlations. Proceedings volume of the 18th International Senckenberg Conference (VI International Palaeontological Colloquium in Weimar), 25th-20th April 2004. Courier Forschungsinstitut Senckenberg (CFS), 256:71-89, 21 figs, 2pls.</w:t>
        </w:r>
      </w:hyperlink>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FORSTEN A., 1986. - A review of the Sà¼ssenborn horses and the origin of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Equus hydruntinus Regalia. Quartà¤rpalà¤ontologie, 6 : 43-52, 6 fig., Berlin.</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FORSTEN A., 1990. - Old World "Asses". Quartà¤rpalà¤ontologie, Berlin, 8 : 71- 78, 6 fig.</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MUSIL R., 1969. - Die Equidenreste aus dem Pleistozà¤n von Sà¼ssenborn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bei Weimar. Palà¤ontol. Abhandl. A, III, 3-4, 317-364, 15 fig., pl. XXXVII-</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5"/>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XLV, 34 tabl., Berlin.</w:t>
      </w:r>
    </w:p>
    <w:p>
      <w:pPr>
        <w:pStyle w:val="TextBody"/>
        <w:widowControl/>
        <w:bidi w:val="0"/>
        <w:spacing w:before="0" w:after="140"/>
        <w:ind w:left="0" w:right="0" w:hanging="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altName w:val="Georgia"/>
    <w:charset w:val="00"/>
    <w:family w:val="auto"/>
    <w:pitch w:val="default"/>
  </w:font>
  <w:font w:name="inherit">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era-eisenmann.com/ecrire/?exec=article&amp;id_article=1120" TargetMode="External"/><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LibreOffice/7.4.3.2$Windows_X86_64 LibreOffice_project/1048a8393ae2eeec98dff31b5c133c5f1d08b890</Application>
  <AppVersion>15.0000</AppVersion>
  <Pages>1</Pages>
  <Words>479</Words>
  <Characters>2630</Characters>
  <CharactersWithSpaces>3096</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2024-08-02T17:40:55Z</dcterms:created>
  <dc:creator/>
  <dc:description/>
  <dc:language>en-US</dc:language>
  <cp:lastModifiedBy/>
  <dcterms:modified xsi:type="dcterms:W3CDTF">2024-08-02T17:53:46Z</dcterms:modified>
  <cp:revision>6</cp:revision>
  <dc:subject/>
  <dc:title/>
</cp:coreProperties>
</file>